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A14D2B2" w14:textId="77777777" w:rsidR="00C0015F" w:rsidRDefault="00C0015F" w:rsidP="0052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4708A27" w14:textId="6604750A" w:rsidR="00A644CE" w:rsidRPr="00C0015F" w:rsidRDefault="00B304FD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последние два десятилетия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урбанизации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</w:t>
      </w:r>
      <w:r w:rsidR="005536EF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устойчивого развития сельских территорий –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страны.</w:t>
      </w:r>
    </w:p>
    <w:p w14:paraId="4F56C526" w14:textId="1FE21D51" w:rsidR="00D428AE" w:rsidRPr="00C0015F" w:rsidRDefault="00D428AE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г.Жабинка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г.Скидель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(города Дзержинск, Заславль, Логойск, Смолевичи,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Фаниполь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г.п.Руденск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9" w14:textId="77777777" w:rsidR="00C0015F" w:rsidRDefault="00C0015F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F042FE" w14:textId="681DCBE3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Свою эффективность в вопросе территориального развития Беларуси доказали 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усилени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регионов.</w:t>
      </w:r>
    </w:p>
    <w:p w14:paraId="3D46B475" w14:textId="716901A2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 w:rsidRPr="00C0015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(2005–2010 гг.)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0D17" w14:textId="77777777" w:rsidR="00C0015F" w:rsidRDefault="00C0015F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C85D075" w14:textId="77777777" w:rsidR="00A01FEB" w:rsidRPr="005D2A18" w:rsidRDefault="00A01FEB" w:rsidP="00C0015F">
      <w:pPr>
        <w:spacing w:after="0" w:line="280" w:lineRule="exact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4B866AD" w:rsidR="00A01FEB" w:rsidRPr="005D7FAE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</w:t>
      </w:r>
      <w:r w:rsidR="002352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17A3BB18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8075A2" w14:textId="295E33BF" w:rsidR="00F43149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агрогородки с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0015F" w:rsidRDefault="00BD2415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16E3248E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163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популярен сельский образ жизни.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C0015F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 w:rsidRPr="00C0015F">
        <w:rPr>
          <w:rFonts w:ascii="Times New Roman" w:hAnsi="Times New Roman"/>
          <w:sz w:val="30"/>
          <w:szCs w:val="30"/>
        </w:rPr>
        <w:t xml:space="preserve">и </w:t>
      </w:r>
      <w:r w:rsidRPr="00C0015F">
        <w:rPr>
          <w:rFonts w:ascii="Times New Roman" w:hAnsi="Times New Roman"/>
          <w:sz w:val="30"/>
          <w:szCs w:val="30"/>
        </w:rPr>
        <w:t xml:space="preserve">Программа </w:t>
      </w:r>
      <w:r w:rsidRPr="00C0015F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21BDE42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(далее – ВРП)</w:t>
      </w: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(от 101,8% в Витебской области до 110,6% – в Брестской)</w:t>
      </w:r>
      <w:r w:rsidRPr="00C0015F">
        <w:rPr>
          <w:rFonts w:ascii="Times New Roman" w:hAnsi="Times New Roman"/>
          <w:bCs/>
          <w:spacing w:val="-6"/>
          <w:sz w:val="30"/>
          <w:szCs w:val="30"/>
        </w:rPr>
        <w:t xml:space="preserve">.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 w:rsid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E2D3D9F" w14:textId="77777777" w:rsidR="002E720A" w:rsidRPr="005D4424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color w:val="00B050"/>
          <w:spacing w:val="-10"/>
          <w:sz w:val="28"/>
          <w:szCs w:val="28"/>
        </w:rPr>
      </w:pPr>
    </w:p>
    <w:p w14:paraId="1EF41EE5" w14:textId="77777777" w:rsidR="002E720A" w:rsidRPr="0088673A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: </w:t>
      </w:r>
    </w:p>
    <w:p w14:paraId="2DBD9C98" w14:textId="08405DB2" w:rsidR="002E720A" w:rsidRPr="0088673A" w:rsidRDefault="002E720A" w:rsidP="002E720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</w:rPr>
      </w:pPr>
      <w:r w:rsidRPr="00D843A1">
        <w:rPr>
          <w:rFonts w:ascii="Times New Roman" w:hAnsi="Times New Roman" w:cs="Times New Roman"/>
          <w:i/>
          <w:iCs/>
          <w:spacing w:val="-10"/>
          <w:sz w:val="28"/>
          <w:szCs w:val="28"/>
        </w:rPr>
        <w:t>В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Гродненской области </w:t>
      </w:r>
      <w:r w:rsidRPr="0088673A">
        <w:rPr>
          <w:rFonts w:ascii="Times New Roman" w:hAnsi="Times New Roman" w:cs="Times New Roman"/>
          <w:i/>
          <w:iCs/>
          <w:spacing w:val="-10"/>
          <w:sz w:val="28"/>
          <w:szCs w:val="28"/>
        </w:rPr>
        <w:t>объем валового регионального продукта достиг 29,4 млрд рублей, что составило 101,7% к уровню предыдущего года. В промышленном секторе темп роста валовой добавленной стоимости – 101,1%.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C0015F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22FE0805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4FF84EB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87DC60B" w14:textId="4DF26650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C0015F">
      <w:pPr>
        <w:spacing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0147B239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</w:t>
      </w:r>
      <w:r w:rsidR="002352B8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                          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на заводе «Полимир» ОАО «Нафтан», создание линейки зубообрабатывающего оборудования и организация его производства в ОАО «ВИСТАН»;</w:t>
      </w:r>
    </w:p>
    <w:p w14:paraId="32A82803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2AF68A7B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компания холдинга «МИНСКИЙ МОТОРНЫЙ ЗАВОД» в 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786ABA57" w14:textId="77777777" w:rsidR="00C0015F" w:rsidRDefault="00C0015F" w:rsidP="00C0015F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7D0DD41B" w14:textId="77777777" w:rsidR="002352B8" w:rsidRPr="003C0DBA" w:rsidRDefault="002352B8" w:rsidP="00C0015F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33A90783" w14:textId="6F824EB6" w:rsid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3C0DBA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</w:t>
      </w:r>
      <w:r w:rsidRPr="003C0DB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реди наиболее крупных проектов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proofErr w:type="spellEnd"/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Альбертин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19E5AABE" w14:textId="5208AF4D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Введен в эксплуатацию объект «Белорусская АЭС. Пусковой комплекс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</w:t>
      </w: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№ 2».</w:t>
      </w:r>
    </w:p>
    <w:p w14:paraId="1AD4071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Завершен крупный проект по реконструкции воздухоразделительных установок цеха метанола ОАО «Гродно Азот».</w:t>
      </w:r>
    </w:p>
    <w:p w14:paraId="53204BC1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деревообработки завершено строительство 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Белакон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Тимбер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деревообрабатывающего завода «Свислочь» и реконструкция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Мостовдрев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лесопильно-деревообрабатывающего цеха.</w:t>
      </w:r>
    </w:p>
    <w:p w14:paraId="1906FB8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производства продуктов питания реализованы проекты по техническому переоснащению крупных молокоперерабатывающих предприятий области: ОАО «Молочный Мир» и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Беллакт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».</w:t>
      </w:r>
    </w:p>
    <w:p w14:paraId="168F0992" w14:textId="3BEBA69C" w:rsidR="002352B8" w:rsidRPr="00D82AD1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Праймилк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» проведена реконструкция главного производственного 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корпуса в части установки линии производства мягких сыров.</w:t>
      </w:r>
    </w:p>
    <w:p w14:paraId="66BE45DA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Наряду с действующими импортозамещающими производствами в стадии реализации находятся и новые проекты: </w:t>
      </w:r>
    </w:p>
    <w:p w14:paraId="2C8AA41F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организация производства концентрата молочного белка (КМБ) массовой долей белка 80%; </w:t>
      </w:r>
    </w:p>
    <w:p w14:paraId="7B8F17E5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организация производства длинных макаронных изделий из пшеницы твердых сортов;</w:t>
      </w:r>
    </w:p>
    <w:p w14:paraId="414DB8B8" w14:textId="6DE44838" w:rsidR="003C0DBA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строительство цеха по производству сухого детского питания по стандартам GMP Волковысским ОАО «</w:t>
      </w:r>
      <w:proofErr w:type="spellStart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Беллакт</w:t>
      </w:r>
      <w:proofErr w:type="spellEnd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C001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;</w:t>
      </w:r>
    </w:p>
    <w:p w14:paraId="0D0CEFD2" w14:textId="77777777" w:rsidR="00D82AD1" w:rsidRDefault="00D82AD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04F346D9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3C0D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44497D79" w14:textId="77777777" w:rsidR="003C0DBA" w:rsidRPr="003C0DBA" w:rsidRDefault="003C0DBA" w:rsidP="003C0DBA">
      <w:pPr>
        <w:spacing w:before="120"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03F1A5CA" w14:textId="4685C048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Гродненская область </w:t>
      </w:r>
      <w:r w:rsidR="00F16342"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является высокоразвитым аграрным регионом республики.</w:t>
      </w:r>
      <w:r w:rsidR="002E720A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Регион р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асполагает достаточным природно-ресурсным потенциалом для удовлетворения потребностей народного хозяйства. Сельскохозяйственные земли занимают 50% территории. </w:t>
      </w:r>
    </w:p>
    <w:p w14:paraId="64334775" w14:textId="1E4952BC" w:rsidR="001F2F36" w:rsidRPr="0088673A" w:rsidRDefault="00483278" w:rsidP="001F2F3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Вклад сельскохозяйственных организаций в продовольственную безопасность республики значителен. </w:t>
      </w:r>
    </w:p>
    <w:p w14:paraId="4E1A2C83" w14:textId="4DD488AB" w:rsidR="001F2F36" w:rsidRPr="0088673A" w:rsidRDefault="001F2F36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получено 1,7 млн тонн зерна с учетом кукурузы. Традиционно высокие показатели демонстрирует Гродненский район, который стал лидером и по валовому сбору, и по урожайности. Здесь намолочено 242 тыс. тонн зерна (с кукурузой) при урожайности 70,1 ц/га.</w:t>
      </w:r>
    </w:p>
    <w:p w14:paraId="19D416B8" w14:textId="77777777" w:rsidR="00483278" w:rsidRPr="0088673A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>За прошедшие 5 лет проведена значительная модернизация молочной отрасли. Число ферм с доильными залами увеличилось с 258 до 292 единиц.</w:t>
      </w:r>
    </w:p>
    <w:p w14:paraId="3C57EFF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lastRenderedPageBreak/>
        <w:t xml:space="preserve">  Предприятия пищевой промышленности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АПК занимают порядка 25 % в объеме промышленного производства области. </w:t>
      </w:r>
    </w:p>
    <w:p w14:paraId="28AD1481" w14:textId="19B6CB72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В области работают 4 мясокомбината, 3 молокозавода, </w:t>
      </w:r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  </w:t>
      </w: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2 крахмальных завода, </w:t>
      </w:r>
      <w:proofErr w:type="gramStart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>ликеро-водочный</w:t>
      </w:r>
      <w:proofErr w:type="gramEnd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завод, 4 комбината хлебопродуктов, завод по производству соковой и плодоовощной консервации, хлебопекарное предприятие.</w:t>
      </w:r>
    </w:p>
    <w:p w14:paraId="12F84EBD" w14:textId="3FB33609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Вклад предприятий Гродненской области в продовольственную безопасность страны значительный. На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Гродненщине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производится</w:t>
      </w:r>
      <w:r w:rsidR="002E720A">
        <w:rPr>
          <w:rFonts w:ascii="Times New Roman" w:hAnsi="Times New Roman"/>
          <w:i/>
          <w:color w:val="000000"/>
          <w:sz w:val="28"/>
          <w:szCs w:val="28"/>
        </w:rPr>
        <w:t xml:space="preserve">          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100 % в республике сухого детского питания, 70% – крахмала картофельного, 50% – крахмала модифицированного, 57,6% – сухого цельного молока и сухих сливок.</w:t>
      </w:r>
    </w:p>
    <w:p w14:paraId="11A4FA7B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Мясокомбинатами области производится каждый третий килограмм колбасных изделий, производимых в Республике Беларусь. </w:t>
      </w:r>
    </w:p>
    <w:p w14:paraId="012A04C3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По производству мяса и субпродуктов предприятия Гродненской области занимают 32,0% производства в Республике Беларусь, колбасным изделиям – 32,0%. </w:t>
      </w:r>
    </w:p>
    <w:p w14:paraId="44054DEC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Волковысское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Беллакт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>» – единственный производитель сухого детского питания в Республике Беларусь. Ассортиментный перечень выпускаемой продукции молочных заводов насчитывает более 1100 наименований, мясокомбинатов – более 1500,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Гроднохлебпром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- около 400 наименований хлебобулочных изделий и около 200 наименований кондитерских изделий. </w:t>
      </w:r>
    </w:p>
    <w:p w14:paraId="1A8B24DA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постоянной основе ведется работа по освоению новых видов продукции и производству импортозамещающей продукции. В рамках производства импортозамещающей продукции перерабатывающими предприятиями освоены и производятся: </w:t>
      </w:r>
    </w:p>
    <w:p w14:paraId="671178D0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гипоаллергенные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смеси для питания детей раннего возраста; </w:t>
      </w:r>
    </w:p>
    <w:p w14:paraId="2454B78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жидкое и пастообразное детское питание; </w:t>
      </w:r>
    </w:p>
    <w:p w14:paraId="61127CF4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сыры с длительными сроками созревания типа пармезан,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маасдам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</w:p>
    <w:p w14:paraId="1D508997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концентрат сывороточный белковый массовой долей белка 80%; </w:t>
      </w:r>
    </w:p>
    <w:p w14:paraId="35BB1D61" w14:textId="5E7BC47E" w:rsidR="00483278" w:rsidRPr="00D82AD1" w:rsidRDefault="00483278" w:rsidP="00C0015F">
      <w:pPr>
        <w:tabs>
          <w:tab w:val="left" w:pos="481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хамон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  <w:r w:rsidR="004B11EA">
        <w:rPr>
          <w:rFonts w:ascii="Times New Roman" w:hAnsi="Times New Roman"/>
          <w:i/>
          <w:color w:val="000000"/>
          <w:sz w:val="28"/>
          <w:szCs w:val="28"/>
        </w:rPr>
        <w:tab/>
      </w:r>
    </w:p>
    <w:p w14:paraId="6662DC91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мясные корма для кошек и собак; </w:t>
      </w:r>
    </w:p>
    <w:p w14:paraId="0373C8A2" w14:textId="3D839C7C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короткорезанные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макаронные изделия из пшеницы твердых сортов, при этом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Лидахлебопродукт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– единственное предприятие в </w:t>
      </w:r>
      <w:r w:rsidR="00D82AD1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еспублике Беларусь, которое организовало производство макаронных изделий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Птитим</w:t>
      </w:r>
      <w:proofErr w:type="spellEnd"/>
      <w:r w:rsidR="00C0015F">
        <w:rPr>
          <w:rFonts w:ascii="Times New Roman" w:hAnsi="Times New Roman"/>
          <w:i/>
          <w:color w:val="000000"/>
          <w:sz w:val="28"/>
          <w:szCs w:val="28"/>
        </w:rPr>
        <w:t>;</w:t>
      </w:r>
    </w:p>
    <w:p w14:paraId="2591E719" w14:textId="77777777" w:rsidR="00483278" w:rsidRPr="00D82AD1" w:rsidRDefault="00483278" w:rsidP="00D82AD1">
      <w:pPr>
        <w:spacing w:after="0" w:line="280" w:lineRule="exact"/>
        <w:ind w:left="709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410B4" w14:textId="20D86623" w:rsidR="00A01FEB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711651" w14:textId="77777777" w:rsidR="00F15670" w:rsidRDefault="00F15670" w:rsidP="00D44527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1C705014" w14:textId="77777777" w:rsidR="00D44527" w:rsidRPr="00230608" w:rsidRDefault="00D44527" w:rsidP="00D44527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15565C4B" w14:textId="7FA4CB34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Рост заработной платы </w:t>
      </w: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230608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Гродненской области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осуществляется на основе развития и повышения эффективности экономики, увеличении производительности труда, совершенствования методов организации 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оплаты труда, повышения её мотивационного потенциала, максимально эффективного и рационального использования трудовых ресурсов. </w:t>
      </w:r>
    </w:p>
    <w:p w14:paraId="2D1F7154" w14:textId="592CD82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За последние 5 лет (2021 – 2025 годы) в сфере оплаты труда наблюдается положительная динамика. Так, размер реальной заработной </w:t>
      </w:r>
      <w:r w:rsidR="002E720A"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платы 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целом по области вырос в 1,5 раза (удельный вес заработной платы по области в республиканском показателе вырос с 84,6% в 2020 году до 88,6 % в 2025 году).</w:t>
      </w:r>
    </w:p>
    <w:p w14:paraId="2A4B7351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По итогам 2025 года номинальная начисленная среднемесячная заработная плата по области составила 2 386,3 рубля, в реальном выражении это на 9,7 % выше уровня 2024 года.</w:t>
      </w:r>
    </w:p>
    <w:p w14:paraId="2B93AF10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бюджетной сфере рост заработной платы обеспечивается повышением базовой ставки, а также за счет средств от приносящей доходы деятельности. </w:t>
      </w:r>
    </w:p>
    <w:p w14:paraId="1E14A546" w14:textId="5BAFBAF9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 5 лет в области реальная заработная плата бюджетников выросла в 1,4 раза и составила 1 922,9 рубля.</w:t>
      </w:r>
    </w:p>
    <w:p w14:paraId="6867CA73" w14:textId="44560B78" w:rsidR="00F10598" w:rsidRPr="00C0015F" w:rsidRDefault="00841183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ажную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покупательской способности 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играет</w:t>
      </w:r>
      <w:r w:rsidR="00A01FEB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контроль за ростом цен и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тарифов на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коммунальны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услуг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эффективность принимаемых 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государством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мер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59E61F3" w14:textId="68265BB0" w:rsidR="00A07FA1" w:rsidRPr="00C0015F" w:rsidRDefault="00F20D5C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Принимая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отчет Правительства за 2025 год</w:t>
      </w:r>
      <w:r w:rsidR="00B96E5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Президент 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Республики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.Г.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Лукашенко</w:t>
      </w:r>
      <w:proofErr w:type="spellEnd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поручил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продолжить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 – подчеркнул Александр Лукашенко. –</w:t>
      </w:r>
      <w:r w:rsidR="00D73D9E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3D9E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К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онтроль </w:t>
      </w:r>
      <w:r w:rsidR="00A07FA1" w:rsidRPr="00C0015F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C0015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4E5B71" w:rsidRDefault="00A07FA1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FE19C8F" w14:textId="47C44AEA" w:rsidR="00A01FEB" w:rsidRPr="004E5B71" w:rsidRDefault="00A07FA1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Примером </w:t>
      </w:r>
      <w:r w:rsidR="00D73D9E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</w:t>
      </w:r>
      <w:r w:rsidR="00D2144C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ориентированной</w:t>
      </w: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заключение соглашения Министерств</w:t>
      </w:r>
      <w:r w:rsidR="00E97988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ом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7C363F45" w14:textId="77777777" w:rsidR="00EC5556" w:rsidRDefault="00EC5556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D400B9E" w14:textId="6BFE3399" w:rsidR="00A01FEB" w:rsidRPr="004E5B71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Несмотря на значительный всплеск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инфляции в начале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пятилет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ки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23432" w:rsidRPr="004E5B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(факторы спекулятивного характера)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7%.</w:t>
      </w:r>
    </w:p>
    <w:p w14:paraId="69F8743A" w14:textId="72140C79" w:rsidR="00A01FEB" w:rsidRPr="004E5B71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E5B71">
        <w:rPr>
          <w:rFonts w:ascii="Times New Roman" w:hAnsi="Times New Roman"/>
          <w:sz w:val="30"/>
          <w:szCs w:val="30"/>
        </w:rPr>
        <w:t>Также н</w:t>
      </w:r>
      <w:r w:rsidR="00F10598" w:rsidRPr="004E5B71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4E5B7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4E5B71">
        <w:rPr>
          <w:rFonts w:ascii="Times New Roman" w:hAnsi="Times New Roman"/>
          <w:b/>
          <w:sz w:val="30"/>
          <w:szCs w:val="30"/>
        </w:rPr>
        <w:t>с</w:t>
      </w:r>
      <w:r w:rsidR="008D49BE" w:rsidRPr="004E5B71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 w:rsidRPr="004E5B71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4E5B71">
        <w:rPr>
          <w:rFonts w:ascii="Times New Roman" w:hAnsi="Times New Roman"/>
          <w:sz w:val="30"/>
          <w:szCs w:val="30"/>
        </w:rPr>
        <w:t xml:space="preserve">, обеспечивается достаточный ассортимент товаров по </w:t>
      </w:r>
      <w:r w:rsidR="00A01FEB" w:rsidRPr="004E5B71">
        <w:rPr>
          <w:rFonts w:ascii="Times New Roman" w:hAnsi="Times New Roman"/>
          <w:b/>
          <w:sz w:val="30"/>
          <w:szCs w:val="30"/>
        </w:rPr>
        <w:t>доступным ценам</w:t>
      </w:r>
      <w:r w:rsidR="00A01FEB" w:rsidRPr="004E5B71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Осуществление </w:t>
      </w:r>
      <w:r w:rsidRPr="004E5B71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 w:rsidRPr="004E5B71">
        <w:rPr>
          <w:rFonts w:ascii="Times New Roman" w:hAnsi="Times New Roman" w:cs="Times New Roman"/>
          <w:sz w:val="30"/>
          <w:szCs w:val="30"/>
        </w:rPr>
        <w:t xml:space="preserve">и </w:t>
      </w:r>
      <w:r w:rsidRPr="004E5B71">
        <w:rPr>
          <w:rFonts w:ascii="Times New Roman" w:hAnsi="Times New Roman" w:cs="Times New Roman"/>
          <w:b/>
          <w:sz w:val="30"/>
          <w:szCs w:val="30"/>
        </w:rPr>
        <w:t>доступность товаров на селе</w:t>
      </w:r>
      <w:r w:rsidRPr="004E5B71"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Белкоопсоюзу – крупнейшему торговому оператору в стране. Из 4,1 тыс. магазинов системы 3 тыс. </w:t>
      </w:r>
      <w:r w:rsidRPr="004E5B71">
        <w:rPr>
          <w:rFonts w:ascii="Times New Roman" w:hAnsi="Times New Roman" w:cs="Times New Roman"/>
          <w:i/>
          <w:sz w:val="28"/>
          <w:szCs w:val="28"/>
        </w:rPr>
        <w:t>(73%)</w:t>
      </w:r>
      <w:r w:rsidRPr="004E5B71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не остаются без внимания даже самые малочисленные населенные пункты. Здесь заботу о сельчанах берет на себя мобильная торговля. Протяженность маршрутов движения автомагазинов достигает до 200 км. Ежегодно их пробег превышает 14 млн км. </w:t>
      </w:r>
    </w:p>
    <w:p w14:paraId="2110AE3F" w14:textId="77777777" w:rsidR="001C6C80" w:rsidRPr="00042E98" w:rsidRDefault="001C6C80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42E9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42E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042E98" w:rsidRDefault="001C6C80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E98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 w:rsidRPr="00042E98">
        <w:rPr>
          <w:rFonts w:ascii="Times New Roman" w:hAnsi="Times New Roman" w:cs="Times New Roman"/>
          <w:i/>
          <w:sz w:val="28"/>
          <w:szCs w:val="28"/>
        </w:rPr>
        <w:br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34CEAB4B" w14:textId="77777777" w:rsidR="00042E98" w:rsidRPr="00042E98" w:rsidRDefault="00042E98" w:rsidP="00042E9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8CA97" w14:textId="77777777" w:rsidR="001C6C80" w:rsidRPr="00522002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22002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Деятельность торговых объектов </w:t>
      </w:r>
      <w:r w:rsidRPr="00522002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522002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вместе с тем Белкоопсоюз выполняет возложенные на него социальные функции.</w:t>
      </w:r>
    </w:p>
    <w:p w14:paraId="155AA4CB" w14:textId="77777777" w:rsidR="00D50071" w:rsidRPr="00522002" w:rsidRDefault="00D50071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2200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220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170AB0E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20">
        <w:rPr>
          <w:rFonts w:ascii="Times New Roman" w:hAnsi="Times New Roman" w:cs="Times New Roman"/>
          <w:b/>
          <w:i/>
          <w:sz w:val="28"/>
          <w:szCs w:val="28"/>
        </w:rPr>
        <w:t>Гродненская область</w:t>
      </w:r>
      <w:r w:rsidRPr="00522002">
        <w:rPr>
          <w:rFonts w:ascii="Times New Roman" w:hAnsi="Times New Roman" w:cs="Times New Roman"/>
          <w:i/>
          <w:sz w:val="28"/>
          <w:szCs w:val="28"/>
        </w:rPr>
        <w:t xml:space="preserve"> сохраняет устойчивые позиции по обеспеченности населения торговыми площадями и уровню обслуживания.</w:t>
      </w:r>
    </w:p>
    <w:p w14:paraId="6A5F1179" w14:textId="7A878B4A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 xml:space="preserve">Основным оператором в сельских районах остается Гродненское </w:t>
      </w:r>
      <w:proofErr w:type="spellStart"/>
      <w:r w:rsidRPr="00522002">
        <w:rPr>
          <w:rFonts w:ascii="Times New Roman" w:hAnsi="Times New Roman" w:cs="Times New Roman"/>
          <w:i/>
          <w:sz w:val="28"/>
          <w:szCs w:val="28"/>
        </w:rPr>
        <w:t>облпотребобщество</w:t>
      </w:r>
      <w:proofErr w:type="spellEnd"/>
      <w:r w:rsidRPr="00522002">
        <w:rPr>
          <w:rFonts w:ascii="Times New Roman" w:hAnsi="Times New Roman" w:cs="Times New Roman"/>
          <w:i/>
          <w:sz w:val="28"/>
          <w:szCs w:val="28"/>
        </w:rPr>
        <w:t>, которое обеспечивает работу 40</w:t>
      </w:r>
      <w:r w:rsidR="00C961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002">
        <w:rPr>
          <w:rFonts w:ascii="Times New Roman" w:hAnsi="Times New Roman" w:cs="Times New Roman"/>
          <w:i/>
          <w:sz w:val="28"/>
          <w:szCs w:val="28"/>
        </w:rPr>
        <w:t>% сельских магазинов региона.</w:t>
      </w:r>
    </w:p>
    <w:p w14:paraId="5C2E438B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В 2025 году проведена модернизация 51 сельского магазина для улучшения условий обслуживания и расширения ассортимента.</w:t>
      </w:r>
    </w:p>
    <w:p w14:paraId="75E21D9C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Для жителей отдаленных деревень, где нет стационарных точек, работают 88 автомагазинов. В 2026 году запланировано дальнейшее обновление этого парка новыми машинами.</w:t>
      </w:r>
    </w:p>
    <w:p w14:paraId="118CDB64" w14:textId="77777777" w:rsidR="00042E98" w:rsidRPr="00D44527" w:rsidRDefault="00042E98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7AF474D" w14:textId="77777777" w:rsidR="00EC5556" w:rsidRDefault="00EC5556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9087E3" w14:textId="37CD4B86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годы осуществления инициативы «Один район – один проект»</w:t>
      </w:r>
      <w:r w:rsidRPr="00EC555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lang w:eastAsia="ru-RU"/>
        </w:rPr>
        <w:t>(начиная с 2022 года)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EC555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ряде регионов обеспечена реализация двух-трех проектов. </w:t>
      </w:r>
    </w:p>
    <w:p w14:paraId="251F09EB" w14:textId="77777777" w:rsidR="00D44527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г.Дзержинске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(форвардеров, харвестеров)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ОАО «АМКОДОР-СЕМАШ» – управляющая компания холдинга»</w:t>
      </w:r>
      <w:r w:rsidR="00BC65FC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Хотимском, Краснопольском и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Чериковском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районах созданы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рыбохозяйственные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производства с суммарным объемом инвестиций более 100 млн рублей.</w:t>
      </w:r>
    </w:p>
    <w:p w14:paraId="3FA3F3E5" w14:textId="77777777" w:rsidR="00F15670" w:rsidRDefault="00F15670" w:rsidP="002B514B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4434C17" w14:textId="77777777" w:rsidR="00D44527" w:rsidRPr="00941EE7" w:rsidRDefault="00D44527" w:rsidP="00EC5556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A843D65" w14:textId="5E996666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 исполнение поручения Главы государства по реализации инвестиционных проектов по принципу «Один район – один проект» в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Гродненской области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завершена реализация 19 инвестиционных проектов, по ним создано 919 рабочих мест. В 2026 г. продолжится реализация 10 инвестиционных проектов со сроками окончания реализации в 2026 – 2028 годы.</w:t>
      </w:r>
    </w:p>
    <w:p w14:paraId="1671B1FB" w14:textId="5A53082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ОАО «Гродненский стеклозавод» открыто новое производство стеклянной тары с использованием инновационных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энергоэффективных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ресурсосберегающих технологий,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Свислочском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завершено строительство деревообрабатывающего завода.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Сморгонском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организовано производство ламинированной фанеры ООО «Ультра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Лидском районе – производство и переработка 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продукции из мяса птицы ЗАО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Белсалттрэйд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Дятловском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– производство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предызолированных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водопроводных труб ООО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Пласт». В Гродненском районе создано высокотехнологичное предприятие по производству изделий из пластмасс ООО «ПНД-Групп».</w:t>
      </w:r>
    </w:p>
    <w:p w14:paraId="454ADE69" w14:textId="77777777" w:rsidR="00D44527" w:rsidRPr="0033397A" w:rsidRDefault="00D44527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6D0CA33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Значимость инициативы «Один район –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EC5556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1356CD89" w14:textId="77777777" w:rsidR="001E1B3C" w:rsidRPr="00EC5556" w:rsidRDefault="001E1B3C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78E34C2" w14:textId="2CE7C1E8" w:rsidR="00A01FEB" w:rsidRPr="00EC5556" w:rsidRDefault="00A01FEB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 социальная инфраструктура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физкультурно-оздоровительные комплексы – все это неотъемлемые составляющие формулы «сильные регионы».</w:t>
      </w:r>
    </w:p>
    <w:p w14:paraId="058ACAED" w14:textId="013A45FB" w:rsidR="00A01FEB" w:rsidRPr="00EC5556" w:rsidRDefault="008D49BE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Pr="00EC5556" w:rsidRDefault="00D95979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 xml:space="preserve">Развитие </w:t>
      </w:r>
      <w:r w:rsidRPr="00EC5556">
        <w:rPr>
          <w:rFonts w:ascii="Times New Roman" w:hAnsi="Times New Roman"/>
          <w:b/>
          <w:sz w:val="30"/>
          <w:szCs w:val="30"/>
        </w:rPr>
        <w:t>ж</w:t>
      </w:r>
      <w:r w:rsidR="002100B6" w:rsidRPr="00EC5556">
        <w:rPr>
          <w:rFonts w:ascii="Times New Roman" w:hAnsi="Times New Roman"/>
          <w:b/>
          <w:sz w:val="30"/>
          <w:szCs w:val="30"/>
        </w:rPr>
        <w:t>илищн</w:t>
      </w:r>
      <w:r w:rsidRPr="00EC5556">
        <w:rPr>
          <w:rFonts w:ascii="Times New Roman" w:hAnsi="Times New Roman"/>
          <w:b/>
          <w:sz w:val="30"/>
          <w:szCs w:val="30"/>
        </w:rPr>
        <w:t>ого</w:t>
      </w:r>
      <w:r w:rsidR="002100B6" w:rsidRPr="00EC5556">
        <w:rPr>
          <w:rFonts w:ascii="Times New Roman" w:hAnsi="Times New Roman"/>
          <w:b/>
          <w:sz w:val="30"/>
          <w:szCs w:val="30"/>
        </w:rPr>
        <w:t xml:space="preserve"> </w:t>
      </w:r>
      <w:r w:rsidRPr="00EC5556">
        <w:rPr>
          <w:rFonts w:ascii="Times New Roman" w:hAnsi="Times New Roman"/>
          <w:b/>
          <w:sz w:val="30"/>
          <w:szCs w:val="30"/>
        </w:rPr>
        <w:t>фонда</w:t>
      </w:r>
      <w:r w:rsidR="002100B6" w:rsidRPr="00EC5556">
        <w:rPr>
          <w:rFonts w:ascii="Times New Roman" w:hAnsi="Times New Roman"/>
          <w:sz w:val="30"/>
          <w:szCs w:val="30"/>
        </w:rPr>
        <w:t xml:space="preserve"> </w:t>
      </w:r>
      <w:r w:rsidRPr="00EC5556"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EC5556">
        <w:rPr>
          <w:rFonts w:ascii="Times New Roman" w:hAnsi="Times New Roman"/>
          <w:sz w:val="30"/>
          <w:szCs w:val="30"/>
        </w:rPr>
        <w:t>важнейши</w:t>
      </w:r>
      <w:r w:rsidRPr="00EC5556">
        <w:rPr>
          <w:rFonts w:ascii="Times New Roman" w:hAnsi="Times New Roman"/>
          <w:sz w:val="30"/>
          <w:szCs w:val="30"/>
        </w:rPr>
        <w:t>х</w:t>
      </w:r>
      <w:r w:rsidR="002100B6" w:rsidRPr="00EC5556">
        <w:rPr>
          <w:rFonts w:ascii="Times New Roman" w:hAnsi="Times New Roman"/>
          <w:sz w:val="30"/>
          <w:szCs w:val="30"/>
        </w:rPr>
        <w:t xml:space="preserve"> направлени</w:t>
      </w:r>
      <w:r w:rsidRPr="00EC5556">
        <w:rPr>
          <w:rFonts w:ascii="Times New Roman" w:hAnsi="Times New Roman"/>
          <w:sz w:val="30"/>
          <w:szCs w:val="30"/>
        </w:rPr>
        <w:t>й</w:t>
      </w:r>
      <w:r w:rsidR="002100B6" w:rsidRPr="00EC5556">
        <w:rPr>
          <w:rFonts w:ascii="Times New Roman" w:hAnsi="Times New Roman"/>
          <w:sz w:val="30"/>
          <w:szCs w:val="30"/>
        </w:rPr>
        <w:t xml:space="preserve"> социальной политики белорусского государства. </w:t>
      </w:r>
      <w:r w:rsidR="00DD272A" w:rsidRPr="00EC5556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C5556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 w:rsidRPr="00EC5556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EC5556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 w:rsidRPr="00EC5556">
        <w:rPr>
          <w:rFonts w:ascii="Times New Roman" w:hAnsi="Times New Roman"/>
          <w:sz w:val="30"/>
          <w:szCs w:val="30"/>
        </w:rPr>
        <w:t xml:space="preserve"> </w:t>
      </w:r>
      <w:r w:rsidR="00DD272A" w:rsidRPr="00EC5556">
        <w:rPr>
          <w:rFonts w:ascii="Times New Roman" w:hAnsi="Times New Roman"/>
          <w:sz w:val="30"/>
          <w:szCs w:val="30"/>
        </w:rPr>
        <w:t>п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EC5556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EC5556">
        <w:rPr>
          <w:rFonts w:ascii="Times New Roman" w:hAnsi="Times New Roman"/>
          <w:sz w:val="30"/>
          <w:szCs w:val="30"/>
        </w:rPr>
        <w:t xml:space="preserve">с 28,3 кв. м в 2020 году до 30,4 кв. м в 2024 году </w:t>
      </w:r>
      <w:r w:rsidR="00A01FEB" w:rsidRPr="00EC5556">
        <w:rPr>
          <w:rFonts w:ascii="Times New Roman" w:hAnsi="Times New Roman"/>
          <w:i/>
          <w:iCs/>
          <w:sz w:val="30"/>
          <w:szCs w:val="30"/>
        </w:rPr>
        <w:t>(в том числе в каждом регионе)</w:t>
      </w:r>
      <w:r w:rsidR="000843A6" w:rsidRPr="00EC5556">
        <w:rPr>
          <w:rFonts w:ascii="Times New Roman" w:hAnsi="Times New Roman"/>
          <w:iCs/>
          <w:sz w:val="30"/>
          <w:szCs w:val="30"/>
        </w:rPr>
        <w:t>,</w:t>
      </w:r>
      <w:r w:rsidR="00DD272A" w:rsidRPr="00EC5556">
        <w:rPr>
          <w:rFonts w:ascii="Times New Roman" w:hAnsi="Times New Roman"/>
          <w:sz w:val="30"/>
          <w:szCs w:val="30"/>
        </w:rPr>
        <w:t xml:space="preserve"> </w:t>
      </w:r>
      <w:r w:rsidR="000843A6" w:rsidRPr="00EC555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325" w14:textId="77777777" w:rsidR="00147F3A" w:rsidRDefault="00147F3A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119A416B" w14:textId="77777777" w:rsidR="00147F3A" w:rsidRDefault="00147F3A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6E219F42" w14:textId="77777777" w:rsidR="00147F3A" w:rsidRDefault="00147F3A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lastRenderedPageBreak/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683C4190" w14:textId="77777777" w:rsidR="00935AC0" w:rsidRPr="00941EE7" w:rsidRDefault="00935AC0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115987" w14:textId="77777777" w:rsidR="002B514B" w:rsidRPr="002B514B" w:rsidRDefault="002B514B" w:rsidP="002B514B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B514B">
        <w:rPr>
          <w:rFonts w:ascii="Times New Roman" w:hAnsi="Times New Roman"/>
          <w:i/>
          <w:sz w:val="28"/>
          <w:szCs w:val="28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</w:rPr>
        <w:t>2025</w:t>
      </w:r>
      <w:r w:rsidRPr="002B514B">
        <w:rPr>
          <w:rFonts w:ascii="Times New Roman" w:hAnsi="Times New Roman"/>
          <w:i/>
          <w:sz w:val="28"/>
          <w:szCs w:val="28"/>
        </w:rPr>
        <w:t xml:space="preserve"> года </w:t>
      </w:r>
      <w:r w:rsidRPr="002B514B">
        <w:rPr>
          <w:rFonts w:ascii="Times New Roman" w:hAnsi="Times New Roman"/>
          <w:b/>
          <w:i/>
          <w:sz w:val="28"/>
          <w:szCs w:val="28"/>
        </w:rPr>
        <w:t>Гродненская область</w:t>
      </w:r>
      <w:r w:rsidRPr="002B514B">
        <w:rPr>
          <w:rFonts w:ascii="Times New Roman" w:hAnsi="Times New Roman"/>
          <w:i/>
          <w:sz w:val="28"/>
          <w:szCs w:val="28"/>
        </w:rPr>
        <w:t xml:space="preserve"> стала лучшей в выполнении показателей Государственной программы «Комфортное жилье и благоприятная среда» на 2021–2025 годы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6AAC0FB8" w14:textId="7695CDC9" w:rsidR="00935AC0" w:rsidRPr="001E1B3C" w:rsidRDefault="002B514B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рамках Государственной программы «Строительство жилья» в </w:t>
      </w:r>
      <w:r w:rsidR="00935AC0" w:rsidRPr="002B5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введено в эксплуатацию 2 318,9 тыс. кв. м общей площади жилых помещений. Для граждан, нуждающихся в улучшении жилищных условий построено 1 062,9 тыс. кв. м жилья, в том числе с государственной поддержкой </w:t>
      </w:r>
      <w:r w:rsidR="00935A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711,7 тыс. кв. м. Для многодетных семей за 2021 – 2025 годы построено 5 242 квартиры. Ввод в эксплуатацию арендного жилья составил 222,4 тыс. кв. м, в том числе за 2023 – 2025 годы для военнослужащих введено в эксплуатацию 1673 квартиры общей площадью более 107,2 </w:t>
      </w:r>
      <w:proofErr w:type="spellStart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</w:t>
      </w:r>
      <w:proofErr w:type="spellEnd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м. Введено в эксплуатацию 916,8 тыс. кв. м индивидуальных жилых домов и 11,5 тыс. кв. м социального жилья. </w:t>
      </w:r>
    </w:p>
    <w:p w14:paraId="65E400F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Уровень обеспеченности населения жильем в расчете на одного человека за пять лет вырос с 31,4 до 33,5 кв. м общей площади на одного жителя и является одним из самых высоких в стране.</w:t>
      </w:r>
    </w:p>
    <w:p w14:paraId="770554D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2026-2030 годах в Гродненской области в рамках Государственной программы «Строительство жилья» предполагается построить 142 тыс. кв. метров жилья по государственному заказу, 225,0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электродомов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636,0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арендного жилья.</w:t>
      </w:r>
    </w:p>
    <w:p w14:paraId="229407BC" w14:textId="77777777" w:rsidR="00935AC0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Показатель уровня обеспеченности населения жильем в расчете на одного человека планируется увеличить до 35,1 кв. м общей площади на одного жителя.</w:t>
      </w:r>
    </w:p>
    <w:p w14:paraId="1758C544" w14:textId="77777777" w:rsidR="00935AC0" w:rsidRDefault="00935AC0" w:rsidP="008C73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078065A" w14:textId="77777777" w:rsidR="00A01FEB" w:rsidRPr="0089636C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B2B0" w14:textId="77777777" w:rsidR="00EC5556" w:rsidRDefault="00EC5556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33B6E49" w14:textId="77777777" w:rsidR="00A01FEB" w:rsidRPr="00D35EDE" w:rsidRDefault="00A01FEB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447BA023" w:rsidR="00A01FEB" w:rsidRPr="00D35EDE" w:rsidRDefault="00A01FEB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4B3EF176" w14:textId="77777777" w:rsidR="00146BFE" w:rsidRPr="00146BFE" w:rsidRDefault="00146BFE" w:rsidP="00146BF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EFC6170" w14:textId="77777777" w:rsidR="007456D1" w:rsidRDefault="007456D1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0D4B8F8A" w14:textId="5F40C0FD" w:rsidR="00011211" w:rsidRPr="00011211" w:rsidRDefault="007456D1" w:rsidP="00EC5556">
      <w:pPr>
        <w:spacing w:after="0" w:line="280" w:lineRule="exact"/>
        <w:ind w:left="709" w:firstLine="709"/>
        <w:jc w:val="both"/>
        <w:rPr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>значимым шагом на пути обеспечения равного доступа к качественным современным мед</w:t>
      </w:r>
      <w:r w:rsidR="007458BC">
        <w:rPr>
          <w:rFonts w:ascii="Times New Roman" w:hAnsi="Times New Roman"/>
          <w:bCs/>
          <w:i/>
          <w:iCs/>
          <w:sz w:val="28"/>
          <w:szCs w:val="28"/>
        </w:rPr>
        <w:t xml:space="preserve">ицинским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 xml:space="preserve">услугам всего населения региона, сельского и городского стало создание 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Межрайонных центров по оказанию специализированной и высокотехнологичной медицинской помощи </w:t>
      </w:r>
      <w:r w:rsidRPr="00011211">
        <w:rPr>
          <w:rFonts w:ascii="Times New Roman" w:hAnsi="Times New Roman"/>
          <w:i/>
          <w:sz w:val="28"/>
          <w:szCs w:val="28"/>
        </w:rPr>
        <w:t>в г. Лиде, Островце и Волковыске.</w:t>
      </w:r>
      <w:r w:rsidR="00011211" w:rsidRPr="00011211">
        <w:rPr>
          <w:sz w:val="28"/>
          <w:szCs w:val="28"/>
        </w:rPr>
        <w:t xml:space="preserve"> </w:t>
      </w:r>
    </w:p>
    <w:p w14:paraId="7332E8E4" w14:textId="07C20030" w:rsidR="007456D1" w:rsidRPr="00011211" w:rsidRDefault="00011211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1211">
        <w:rPr>
          <w:rFonts w:ascii="Times New Roman" w:hAnsi="Times New Roman"/>
          <w:i/>
          <w:sz w:val="28"/>
          <w:szCs w:val="28"/>
        </w:rPr>
        <w:t>Создание трех межрайонных центров, равномерно распределенных по области, дает возможность обеспечи</w:t>
      </w:r>
      <w:r w:rsidR="00AE52AD">
        <w:rPr>
          <w:rFonts w:ascii="Times New Roman" w:hAnsi="Times New Roman"/>
          <w:i/>
          <w:sz w:val="28"/>
          <w:szCs w:val="28"/>
        </w:rPr>
        <w:t>ть</w:t>
      </w:r>
      <w:r w:rsidRPr="00011211">
        <w:rPr>
          <w:rFonts w:ascii="Times New Roman" w:hAnsi="Times New Roman"/>
          <w:i/>
          <w:sz w:val="28"/>
          <w:szCs w:val="28"/>
        </w:rPr>
        <w:t xml:space="preserve"> качественную и доступную медицинскую помощь, </w:t>
      </w:r>
      <w:r w:rsidR="00AE52AD">
        <w:rPr>
          <w:rFonts w:ascii="Times New Roman" w:hAnsi="Times New Roman"/>
          <w:i/>
          <w:sz w:val="28"/>
          <w:szCs w:val="28"/>
        </w:rPr>
        <w:t>особенно</w:t>
      </w:r>
      <w:r w:rsidRPr="00011211">
        <w:rPr>
          <w:rFonts w:ascii="Times New Roman" w:hAnsi="Times New Roman"/>
          <w:i/>
          <w:sz w:val="28"/>
          <w:szCs w:val="28"/>
        </w:rPr>
        <w:t xml:space="preserve"> при неотложных состояниях, таких как острый коронарный синдром</w:t>
      </w:r>
      <w:r w:rsidR="00AE52AD">
        <w:rPr>
          <w:rFonts w:ascii="Times New Roman" w:hAnsi="Times New Roman"/>
          <w:i/>
          <w:sz w:val="28"/>
          <w:szCs w:val="28"/>
        </w:rPr>
        <w:t>,</w:t>
      </w:r>
      <w:r w:rsidRPr="00011211">
        <w:rPr>
          <w:rFonts w:ascii="Times New Roman" w:hAnsi="Times New Roman"/>
          <w:i/>
          <w:sz w:val="28"/>
          <w:szCs w:val="28"/>
        </w:rPr>
        <w:t xml:space="preserve"> острое нарушение мозгового кровообращения</w:t>
      </w:r>
      <w:r w:rsidR="00AE52AD">
        <w:rPr>
          <w:rFonts w:ascii="Times New Roman" w:hAnsi="Times New Roman"/>
          <w:i/>
          <w:sz w:val="28"/>
          <w:szCs w:val="28"/>
        </w:rPr>
        <w:t xml:space="preserve"> и др.</w:t>
      </w:r>
    </w:p>
    <w:p w14:paraId="18E76D48" w14:textId="609A069A" w:rsidR="007456D1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7458BC">
        <w:rPr>
          <w:rFonts w:ascii="Times New Roman" w:hAnsi="Times New Roman"/>
          <w:i/>
          <w:sz w:val="28"/>
          <w:szCs w:val="28"/>
        </w:rPr>
        <w:t>В Гродненской области выполнены все целевые показатели программы "Здоровье народа и демографическая безопасность". На протяжении ряда лет в области сохраняется низкий уровень младенческой смертности.</w:t>
      </w:r>
    </w:p>
    <w:p w14:paraId="10D30997" w14:textId="7AAACEF9" w:rsidR="007458BC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В регионе снижаются показатели летальности от острого нарушения мозгового кровообращения, показатели одногодичной летальности при злокачественных новообразованиях. Благодаря установке высокотехнологичного оборудования, созданию межрайонных центров за пять лет удалось увеличить в 2,2 раза число интервенционных </w:t>
      </w:r>
      <w:proofErr w:type="spellStart"/>
      <w:r w:rsidRPr="007458BC">
        <w:rPr>
          <w:rFonts w:ascii="Times New Roman" w:hAnsi="Times New Roman"/>
          <w:bCs/>
          <w:i/>
          <w:iCs/>
          <w:sz w:val="28"/>
          <w:szCs w:val="28"/>
        </w:rPr>
        <w:t>коронарографических</w:t>
      </w:r>
      <w:proofErr w:type="spellEnd"/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 вмешательств, а также в 1,7 раза - установки электрокардиостимуляторов.</w:t>
      </w:r>
    </w:p>
    <w:p w14:paraId="05D32CA8" w14:textId="77777777" w:rsidR="007458BC" w:rsidRPr="007458BC" w:rsidRDefault="007458BC" w:rsidP="007458BC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372FD45F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 w:rsidRPr="00EC5556">
        <w:rPr>
          <w:rFonts w:ascii="Times New Roman" w:hAnsi="Times New Roman"/>
          <w:sz w:val="30"/>
          <w:szCs w:val="30"/>
        </w:rPr>
        <w:br/>
      </w:r>
      <w:r w:rsidRPr="00EC5556"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Pr="00EC5556">
        <w:rPr>
          <w:rFonts w:ascii="Times New Roman" w:hAnsi="Times New Roman"/>
          <w:sz w:val="30"/>
          <w:szCs w:val="30"/>
        </w:rPr>
        <w:t xml:space="preserve"> с командой специалистов, которые регулярно, в соответствии с утвержденным графиком, приезжают к своим пациентам.</w:t>
      </w:r>
    </w:p>
    <w:p w14:paraId="45D727F1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</w:pPr>
      <w:proofErr w:type="spellStart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Справочно</w:t>
      </w:r>
      <w:proofErr w:type="spellEnd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:</w:t>
      </w:r>
    </w:p>
    <w:p w14:paraId="6A241CFE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В том числе по областям: Брестская – 21, Витебская – 29, Гомельская – 20, Гродненская – 24, Минская – 28, Могилевская – 7.</w:t>
      </w:r>
    </w:p>
    <w:p w14:paraId="618F8510" w14:textId="77777777" w:rsidR="00BD3025" w:rsidRPr="00EC5556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закуплено 1 063 автомобиля скорой медицинской помощи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(из них в 2025 году – 204)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Автомобили оснащены системой подачи кислорода и современным оборудованием для разных видов транспортировки пациентов.</w:t>
      </w:r>
    </w:p>
    <w:p w14:paraId="06793151" w14:textId="41204A3F" w:rsidR="00A01FEB" w:rsidRPr="00EC5556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AE83AF" w14:textId="77777777" w:rsidR="00525D8F" w:rsidRDefault="00525D8F" w:rsidP="00525D8F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43A4811C" w14:textId="5E8143A5" w:rsidR="00AE52AD" w:rsidRPr="00525D8F" w:rsidRDefault="00525D8F" w:rsidP="00525D8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продолжится реконструкция комплекса    зданий УЗ «Городская клиническая больница № 3 г. Гродно» под «Гродненский областной клинический онкологический диспансер», корпуса учреждения здравоохранения «Гродненский областной клинический центр «Фтизиатрия», строительство городского стоматологического центра по ул.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Дубко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в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г. Гродно, строительство отделения лучевой диагностики и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рентгеноперационного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отделения  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эндоваскулярной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хирургии  УЗ «Гродненский областной клинический кардиологический центр» по ул. Болдина, 9 в г. Гродно, планируется завершить строительство городской клинической больницы по </w:t>
      </w:r>
      <w:r w:rsidR="00A02CAB">
        <w:rPr>
          <w:rFonts w:ascii="Times New Roman" w:hAnsi="Times New Roman"/>
          <w:bCs/>
          <w:i/>
          <w:iCs/>
          <w:sz w:val="28"/>
          <w:szCs w:val="28"/>
        </w:rPr>
        <w:t xml:space="preserve">                 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>пр. Я. Купалы в г. Гродно.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0EA04B0E" w14:textId="77777777" w:rsidR="00BE4889" w:rsidRPr="00F14E79" w:rsidRDefault="00BE4889" w:rsidP="00BE488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AD46FE5" w14:textId="3706473D" w:rsidR="00F74436" w:rsidRPr="00F650A9" w:rsidRDefault="00BE488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4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Гродненской области</w:t>
      </w:r>
      <w:r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2025 году завершены работы по реконструкции и обновлению стадионов в г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Волковыск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Мост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Сморгон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Щучин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Зельв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</w:t>
      </w:r>
    </w:p>
    <w:p w14:paraId="76023FEE" w14:textId="028D33E7" w:rsidR="00BE4889" w:rsidRPr="00F650A9" w:rsidRDefault="00F650A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В 2026 году 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продолжится строительство объекта «Многофункциональный спортивный комплекс в г. Гродно», строительство бассейна</w:t>
      </w:r>
      <w:r w:rsidR="00BE1506" w:rsidRPr="00F650A9">
        <w:rPr>
          <w:rStyle w:val="fontstyle01"/>
          <w:rFonts w:ascii="Times New Roman" w:hAnsi="Times New Roman"/>
          <w:i/>
          <w:sz w:val="28"/>
          <w:szCs w:val="28"/>
        </w:rPr>
        <w:t>,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модернизация беговых дорожек и секторов стадиона «Юность» в </w:t>
      </w:r>
      <w:proofErr w:type="spellStart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г.п</w:t>
      </w:r>
      <w:proofErr w:type="spellEnd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. Кореличи.</w:t>
      </w:r>
    </w:p>
    <w:p w14:paraId="6710D085" w14:textId="77777777" w:rsidR="00BE4889" w:rsidRDefault="00BE488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2F1C7BE" w14:textId="77777777" w:rsidR="008A1C58" w:rsidRPr="00F14E79" w:rsidRDefault="008A1C58" w:rsidP="008A1C58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3A654A6E" w14:textId="5AE53ED8" w:rsidR="00294C7F" w:rsidRPr="00294C7F" w:rsidRDefault="00294C7F" w:rsidP="00294C7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417D6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функционируют 395 учреждений дошкольного образования, которые посещают более 36 тысяч детей. Открыто 456 групп кратковременного пребывания, что позволило дополнительно охватить дошкольным образованием более 3,2 тысячи детей.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294C7F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1728E6FE" w14:textId="77777777" w:rsidR="00294C7F" w:rsidRPr="0054223F" w:rsidRDefault="00294C7F" w:rsidP="00294C7F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08843A6" w14:textId="0EE5BF53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Гродненской области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ктивно развивается профильное обучение. В профессионально ориентированных классах обучаются почти 4,7 тысячи учащихся. Первый выпуск инженерных классов 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2025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году показал высокий результат: большая часть выпускников продолжили обучение в профильных колледжах и вузах. Поступление выпускников аграрных классов на профильн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ые специальности выросло на 10%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Развивается сеть военно-патриотических классов. Они функционируют в 41 учреждении образования.</w:t>
      </w:r>
    </w:p>
    <w:p w14:paraId="0697F7F9" w14:textId="6A27EE06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централизованного экзамена и тестирования получен 261 </w:t>
      </w:r>
      <w:proofErr w:type="spellStart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стобалльный</w:t>
      </w:r>
      <w:proofErr w:type="spellEnd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результат, что значительно больше, чем в предыдущие годы. Учащиеся области успешно выступают на олимпиадах. На международных предметных олимпиадах завоевано 10 медалей, а на олимпиаде Союзного государства «Россия и Беларусь: историческая и духовная общность» – 6 из 6 возможных. В республиканской спартакиаде школьников сборная команда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Гродненской </w:t>
      </w: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 заняла 2 место в общекомандном зачете.</w:t>
      </w:r>
    </w:p>
    <w:p w14:paraId="7DD51F53" w14:textId="3B709124" w:rsidR="00417D62" w:rsidRPr="00294C7F" w:rsidRDefault="00417D62" w:rsidP="00417D6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94C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итогам работы за 2025 год система образования</w:t>
      </w:r>
      <w:r w:rsidRPr="00294C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17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417D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признана лучшей в республике</w:t>
      </w:r>
      <w:r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.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За этим стоит командный, системный труд, когда каждый на своем месте делает максимум ради общего результата. Лучшим в республике признан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Щучинский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дворец творчества детей и молодежи. Особой гордостью стало присвоение звания «Народный учитель Беларуси» учителю математики гимназии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           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№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1 г. Лиды Альфреду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Ладыко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.</w:t>
      </w:r>
    </w:p>
    <w:p w14:paraId="4F99435B" w14:textId="77777777" w:rsidR="00294C7F" w:rsidRDefault="00294C7F" w:rsidP="00294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1AC57322" w14:textId="77777777" w:rsidR="0008169D" w:rsidRDefault="0008169D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/>
          <w:sz w:val="30"/>
          <w:szCs w:val="30"/>
        </w:rPr>
      </w:pP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7AD228E4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B779FD9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73C2CC2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lastRenderedPageBreak/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48BF270" w14:textId="77777777" w:rsidR="0008169D" w:rsidRPr="00805FB7" w:rsidRDefault="0008169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7E07A51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43A1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0816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г. Гродно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59C16824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BC50A70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012E50F8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68E4EB52" w14:textId="77777777" w:rsidR="0008169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10142750" w14:textId="70BEEFC7" w:rsid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2025 году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отремонтирова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более миллиона квадратных метров улично-дорожной сети, а в 28 </w:t>
      </w:r>
      <w:proofErr w:type="spellStart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агрогородках</w:t>
      </w:r>
      <w:proofErr w:type="spellEnd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свыше 200 тысяч квадратных метров. Внимание уделяется не только городам, акцент делается и на сельской местности, благодаря чему условия жизни улучшаются по всему региону.</w:t>
      </w:r>
    </w:p>
    <w:p w14:paraId="49EB08FD" w14:textId="77777777" w:rsidR="0008169D" w:rsidRP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2C96FF5F" w14:textId="77777777" w:rsidR="00BE1506" w:rsidRDefault="00BE1506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7B730E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r w:rsidR="00230608"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дне,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AF94" w14:textId="77777777" w:rsidR="00C303B6" w:rsidRDefault="00C303B6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1FD8DC" w14:textId="38BDFC61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5D2696" w14:textId="77777777" w:rsidR="00230608" w:rsidRDefault="00230608" w:rsidP="0023060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5C8B74B" w14:textId="0B46086E" w:rsidR="00D875C5" w:rsidRDefault="0023060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8D82078" wp14:editId="20ACC1E0">
            <wp:simplePos x="0" y="0"/>
            <wp:positionH relativeFrom="margin">
              <wp:posOffset>558165</wp:posOffset>
            </wp:positionH>
            <wp:positionV relativeFrom="paragraph">
              <wp:posOffset>213995</wp:posOffset>
            </wp:positionV>
            <wp:extent cx="462915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C63B4" w14:textId="1823681E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1F9D7B7" w14:textId="0A4EC772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E0F840" w14:textId="31E4B248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8039B6" w:rsidRPr="000C4DD8" w:rsidSect="00D0101A">
      <w:headerReference w:type="default" r:id="rId2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133E2" w14:textId="77777777" w:rsidR="009E5D44" w:rsidRDefault="009E5D44" w:rsidP="00F86A85">
      <w:pPr>
        <w:spacing w:after="0" w:line="240" w:lineRule="auto"/>
      </w:pPr>
      <w:r>
        <w:separator/>
      </w:r>
    </w:p>
  </w:endnote>
  <w:endnote w:type="continuationSeparator" w:id="0">
    <w:p w14:paraId="0B782361" w14:textId="77777777" w:rsidR="009E5D44" w:rsidRDefault="009E5D44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C54B7" w14:textId="77777777" w:rsidR="009E5D44" w:rsidRDefault="009E5D44" w:rsidP="00F86A85">
      <w:pPr>
        <w:spacing w:after="0" w:line="240" w:lineRule="auto"/>
      </w:pPr>
      <w:r>
        <w:separator/>
      </w:r>
    </w:p>
  </w:footnote>
  <w:footnote w:type="continuationSeparator" w:id="0">
    <w:p w14:paraId="0635B046" w14:textId="77777777" w:rsidR="009E5D44" w:rsidRDefault="009E5D44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8567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2B1F41">
          <w:rPr>
            <w:rFonts w:ascii="Times New Roman" w:hAnsi="Times New Roman" w:cs="Times New Roman"/>
            <w:noProof/>
          </w:rPr>
          <w:t>23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6"/>
    <w:rsid w:val="000000A5"/>
    <w:rsid w:val="000010B6"/>
    <w:rsid w:val="00001777"/>
    <w:rsid w:val="00007872"/>
    <w:rsid w:val="00011211"/>
    <w:rsid w:val="000146D9"/>
    <w:rsid w:val="00016890"/>
    <w:rsid w:val="00020C05"/>
    <w:rsid w:val="00020E81"/>
    <w:rsid w:val="0002287C"/>
    <w:rsid w:val="00024E5C"/>
    <w:rsid w:val="000318C4"/>
    <w:rsid w:val="000356EF"/>
    <w:rsid w:val="00042206"/>
    <w:rsid w:val="000424EA"/>
    <w:rsid w:val="00042E98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169D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46BFE"/>
    <w:rsid w:val="00147F3A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1B3C"/>
    <w:rsid w:val="001E2CCC"/>
    <w:rsid w:val="001F2F36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0608"/>
    <w:rsid w:val="00235124"/>
    <w:rsid w:val="002352B8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C7F"/>
    <w:rsid w:val="00294FC6"/>
    <w:rsid w:val="002A7CAF"/>
    <w:rsid w:val="002B1F41"/>
    <w:rsid w:val="002B24A4"/>
    <w:rsid w:val="002B4948"/>
    <w:rsid w:val="002B514B"/>
    <w:rsid w:val="002C02FA"/>
    <w:rsid w:val="002C77C6"/>
    <w:rsid w:val="002D4FF7"/>
    <w:rsid w:val="002D73C0"/>
    <w:rsid w:val="002E0883"/>
    <w:rsid w:val="002E10A7"/>
    <w:rsid w:val="002E192C"/>
    <w:rsid w:val="002E1BE4"/>
    <w:rsid w:val="002E720A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0DBA"/>
    <w:rsid w:val="003C2822"/>
    <w:rsid w:val="003F1A88"/>
    <w:rsid w:val="003F2D70"/>
    <w:rsid w:val="003F3306"/>
    <w:rsid w:val="003F4E29"/>
    <w:rsid w:val="00406DAF"/>
    <w:rsid w:val="00412814"/>
    <w:rsid w:val="004146AF"/>
    <w:rsid w:val="00417D62"/>
    <w:rsid w:val="00417DC1"/>
    <w:rsid w:val="00431F2F"/>
    <w:rsid w:val="00445A2B"/>
    <w:rsid w:val="0044620F"/>
    <w:rsid w:val="004574C2"/>
    <w:rsid w:val="00461453"/>
    <w:rsid w:val="00477187"/>
    <w:rsid w:val="00482F59"/>
    <w:rsid w:val="00483278"/>
    <w:rsid w:val="00485F38"/>
    <w:rsid w:val="00486FC2"/>
    <w:rsid w:val="004A468C"/>
    <w:rsid w:val="004A6701"/>
    <w:rsid w:val="004B0F3F"/>
    <w:rsid w:val="004B11EA"/>
    <w:rsid w:val="004C332E"/>
    <w:rsid w:val="004C38D5"/>
    <w:rsid w:val="004C3C88"/>
    <w:rsid w:val="004D14D1"/>
    <w:rsid w:val="004E076C"/>
    <w:rsid w:val="004E2753"/>
    <w:rsid w:val="004E5B71"/>
    <w:rsid w:val="004E6D86"/>
    <w:rsid w:val="004F2248"/>
    <w:rsid w:val="005058F2"/>
    <w:rsid w:val="00506A02"/>
    <w:rsid w:val="00511329"/>
    <w:rsid w:val="005138F6"/>
    <w:rsid w:val="0051489E"/>
    <w:rsid w:val="00522002"/>
    <w:rsid w:val="00525D8F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C4C16"/>
    <w:rsid w:val="005D06CB"/>
    <w:rsid w:val="005D1CDE"/>
    <w:rsid w:val="005D2A18"/>
    <w:rsid w:val="005D4424"/>
    <w:rsid w:val="005D7FAE"/>
    <w:rsid w:val="005E1F5A"/>
    <w:rsid w:val="005E36D0"/>
    <w:rsid w:val="005E5A3B"/>
    <w:rsid w:val="005E71A7"/>
    <w:rsid w:val="005F2538"/>
    <w:rsid w:val="005F66CD"/>
    <w:rsid w:val="005F787E"/>
    <w:rsid w:val="006020FF"/>
    <w:rsid w:val="00603191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56D1"/>
    <w:rsid w:val="007458BC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8673A"/>
    <w:rsid w:val="0089636C"/>
    <w:rsid w:val="00897272"/>
    <w:rsid w:val="008A1C58"/>
    <w:rsid w:val="008A341A"/>
    <w:rsid w:val="008B0B1E"/>
    <w:rsid w:val="008B518D"/>
    <w:rsid w:val="008B5808"/>
    <w:rsid w:val="008B5B26"/>
    <w:rsid w:val="008C2301"/>
    <w:rsid w:val="008C73D0"/>
    <w:rsid w:val="008D49BE"/>
    <w:rsid w:val="008D4FD4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AC0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4777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E5D44"/>
    <w:rsid w:val="009F0B63"/>
    <w:rsid w:val="009F0D00"/>
    <w:rsid w:val="00A014DD"/>
    <w:rsid w:val="00A01FEB"/>
    <w:rsid w:val="00A021DB"/>
    <w:rsid w:val="00A02CA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2AD"/>
    <w:rsid w:val="00AE556B"/>
    <w:rsid w:val="00AF09A0"/>
    <w:rsid w:val="00AF37EE"/>
    <w:rsid w:val="00B026A0"/>
    <w:rsid w:val="00B06578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1022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51ED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1506"/>
    <w:rsid w:val="00BE4889"/>
    <w:rsid w:val="00BE688F"/>
    <w:rsid w:val="00BF21DC"/>
    <w:rsid w:val="00BF62CF"/>
    <w:rsid w:val="00BF6785"/>
    <w:rsid w:val="00C0015F"/>
    <w:rsid w:val="00C0485B"/>
    <w:rsid w:val="00C10FFE"/>
    <w:rsid w:val="00C120AF"/>
    <w:rsid w:val="00C206D4"/>
    <w:rsid w:val="00C21CA2"/>
    <w:rsid w:val="00C22054"/>
    <w:rsid w:val="00C22367"/>
    <w:rsid w:val="00C303B6"/>
    <w:rsid w:val="00C5320E"/>
    <w:rsid w:val="00C53FAE"/>
    <w:rsid w:val="00C6070F"/>
    <w:rsid w:val="00C621E3"/>
    <w:rsid w:val="00C6672F"/>
    <w:rsid w:val="00C75D30"/>
    <w:rsid w:val="00C76C3C"/>
    <w:rsid w:val="00C810EC"/>
    <w:rsid w:val="00C84620"/>
    <w:rsid w:val="00C90A2D"/>
    <w:rsid w:val="00C953B2"/>
    <w:rsid w:val="00C955B9"/>
    <w:rsid w:val="00C96174"/>
    <w:rsid w:val="00CA1283"/>
    <w:rsid w:val="00CA6466"/>
    <w:rsid w:val="00CB22E3"/>
    <w:rsid w:val="00CB3035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101A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4527"/>
    <w:rsid w:val="00D47048"/>
    <w:rsid w:val="00D50071"/>
    <w:rsid w:val="00D70B15"/>
    <w:rsid w:val="00D73D9E"/>
    <w:rsid w:val="00D77062"/>
    <w:rsid w:val="00D82AD1"/>
    <w:rsid w:val="00D8418F"/>
    <w:rsid w:val="00D843A1"/>
    <w:rsid w:val="00D875C5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556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5670"/>
    <w:rsid w:val="00F16342"/>
    <w:rsid w:val="00F171BC"/>
    <w:rsid w:val="00F17B9E"/>
    <w:rsid w:val="00F20D5C"/>
    <w:rsid w:val="00F2271B"/>
    <w:rsid w:val="00F230A9"/>
    <w:rsid w:val="00F34F25"/>
    <w:rsid w:val="00F41CF3"/>
    <w:rsid w:val="00F43149"/>
    <w:rsid w:val="00F4388A"/>
    <w:rsid w:val="00F449B3"/>
    <w:rsid w:val="00F50775"/>
    <w:rsid w:val="00F51F5F"/>
    <w:rsid w:val="00F64EFE"/>
    <w:rsid w:val="00F650A9"/>
    <w:rsid w:val="00F7259A"/>
    <w:rsid w:val="00F74436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1F5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E6F55-C630-41A8-A0CE-BDED7726F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5993</Words>
  <Characters>34166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Пользователь</cp:lastModifiedBy>
  <cp:revision>2</cp:revision>
  <cp:lastPrinted>2026-03-13T11:46:00Z</cp:lastPrinted>
  <dcterms:created xsi:type="dcterms:W3CDTF">2026-03-19T06:30:00Z</dcterms:created>
  <dcterms:modified xsi:type="dcterms:W3CDTF">2026-03-19T06:30:00Z</dcterms:modified>
</cp:coreProperties>
</file>